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1ABAF">
      <w:pPr>
        <w:keepNext w:val="0"/>
        <w:keepLines w:val="0"/>
        <w:pageBreakBefore w:val="0"/>
        <w:widowControl/>
        <w:kinsoku/>
        <w:wordWrap/>
        <w:overflowPunct/>
        <w:topLinePunct w:val="0"/>
        <w:autoSpaceDE/>
        <w:autoSpaceDN/>
        <w:bidi w:val="0"/>
        <w:adjustRightInd w:val="0"/>
        <w:snapToGrid w:val="0"/>
        <w:spacing w:after="0" w:line="240" w:lineRule="auto"/>
        <w:ind w:firstLine="640" w:firstLineChars="200"/>
        <w:jc w:val="center"/>
        <w:textAlignment w:val="auto"/>
        <w:rPr>
          <w:rFonts w:hint="eastAsia" w:ascii="微软雅黑" w:hAnsi="微软雅黑" w:eastAsia="微软雅黑" w:cs="微软雅黑"/>
          <w:sz w:val="32"/>
          <w:szCs w:val="32"/>
        </w:rPr>
      </w:pPr>
      <w:bookmarkStart w:id="0" w:name="_GoBack"/>
      <w:bookmarkEnd w:id="0"/>
      <w:r>
        <w:rPr>
          <w:rFonts w:hint="eastAsia" w:ascii="微软雅黑" w:hAnsi="微软雅黑" w:eastAsia="微软雅黑" w:cs="微软雅黑"/>
          <w:b/>
          <w:sz w:val="32"/>
          <w:szCs w:val="32"/>
        </w:rPr>
        <w:t>玻璃幕墙反光问题解决方案</w:t>
      </w:r>
    </w:p>
    <w:p w14:paraId="6A0291CC">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现代建筑中，玻璃幕墙以其通透、现代感强的美学特征广泛应用。然而，随着日照角度和建筑高度的变化，幕墙表面的强烈反光常常造成室内眩光、外部视觉干扰，甚至影响周边交通与环境舒适度。高反光还可能带来热量分布不均、能源利用效率下降等连带问题。因此，建立一套科学、可操作的反光控制方案，既要兼顾美观与采光，又要满足舒适性、能耗、合规性等综合目标，是当前很多项目面临的实际挑战。本方案从现象识别、量化评估、设计与施工、运行维护等全生命周期入手，提出可落地的解决路径。</w:t>
      </w:r>
    </w:p>
    <w:p w14:paraId="2D8901E7">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现象与成因</w:t>
      </w:r>
    </w:p>
    <w:p w14:paraId="7A3E73EE">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幕墙反光问题主要源于两大类原因：环境光源因素与材料/结构因素相互作用。外部强光照射通过玻璃表面反射、进入室内后再被内表面再反射，形成眩光；同时，玻璃镀膜、涂层的反射率、表面粗糙度、雾化处理程度等会改变光线的穿透与反射特性。具体表现包括：在日照角度较低、正对窗户的时间段，外部强烈反射直接射入室内，形成局部强光点；在高层建筑群、双层幕墙或蒙皮幕墙结构中，来自建筑外部的镜面反射还可能对周边道路和行人造成干扰。此外，玻璃的色度和厚度以及支撑系统的遮挡结构也会影响光线的分布与反射路径。简单说，反光不仅是玻璃的单一特性问题，更是光线在复杂几何与材料组合下的综合表现。</w:t>
      </w:r>
    </w:p>
    <w:p w14:paraId="3E9F2253">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评估与定量</w:t>
      </w:r>
    </w:p>
    <w:p w14:paraId="4AA22543">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在解决方案落地前，需要对反光现象进行科学评估，避免盲目改造导致其他问题。评估的核心是定量描述与场景化理解。</w:t>
      </w:r>
    </w:p>
    <w:p w14:paraId="06D17D36">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量化指标</w:t>
      </w:r>
    </w:p>
    <w:p w14:paraId="2C3F68F4">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室内眩光程度：常用的指标是UGR（Unified Glare Rating，统一眩光等级），数值越低越舒适。一般办公环境推荐UGR在19以下，教育、医疗等场景也有更严格要求；住宅与休闲空间通常容忍度较高，但仍需与使用习惯匹配。</w:t>
      </w:r>
    </w:p>
    <w:p w14:paraId="179D34DB">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外部反射强度与分布：通过现场测量或光学仿真，得到不同时间段、不同朝向的反射强度曲线，识别高反光时段。</w:t>
      </w:r>
    </w:p>
    <w:p w14:paraId="620F6F31">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日光利用与热环境耦合：评估反光对热增益、室内温度分布以及日照舒适性的影响，尤其在夏季高温段。</w:t>
      </w:r>
    </w:p>
    <w:p w14:paraId="1C4B007D">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评估方法</w:t>
      </w:r>
    </w:p>
    <w:p w14:paraId="7BE23186">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实地观测与记录：在不同季节、不同时间段进行现场观察，结合成员访谈了解真实使用体验。</w:t>
      </w:r>
    </w:p>
    <w:p w14:paraId="73DFB539">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现场测量与测试：使用照度计、亮度计对室内关键区域进行亮度与照度分布采样，辅以外部反射面的亮度评估。</w:t>
      </w:r>
    </w:p>
    <w:p w14:paraId="2D447B8A">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日照模拟与光环境分析：运用光学仿真手段对日照路径、反射路径进行模拟，得到UGR、日光因子等指标的时间序列。</w:t>
      </w:r>
    </w:p>
    <w:p w14:paraId="109CB2D4">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参与感知评估：通过员工/居民问卷了解实际眩光感受与使用舒适性，辅以数据对比。</w:t>
      </w:r>
    </w:p>
    <w:p w14:paraId="2BEDEC38">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解决思路与可选方案</w:t>
      </w:r>
    </w:p>
    <w:p w14:paraId="3BCD1440">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在明确问题与基线数据后，需要结合建筑场地、用途、预算以及能耗目标，制定多条可选方案进行对比。思路上应兼顾被动控制与主动控制、局部优化与全局协调。</w:t>
      </w:r>
    </w:p>
    <w:p w14:paraId="75552E93">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外遮阳与遮阳设计</w:t>
      </w:r>
    </w:p>
    <w:p w14:paraId="066F3370">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外部遮阳板、百叶、遮阳网等能显著降低直接入射光的峰值并减少外部反射回室内的强度。遮阳系统的角度、深度、材料应与日照和热环境模型联动，避免导致采光不足。</w:t>
      </w:r>
    </w:p>
    <w:p w14:paraId="26085E62">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遮阳的调控需要具备季节性与日照角度的自适应能力，尽可能实现“需要时开启、不中断视野”的平衡。</w:t>
      </w:r>
    </w:p>
    <w:p w14:paraId="16785548">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玻璃与表面处理</w:t>
      </w:r>
    </w:p>
    <w:p w14:paraId="63E39FFC">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低反射镀膜玻璃：选择可控反射率的镀膜，降低表面反射，提升透光性与色彩稳定性；同时要关注膜层对热辐射的影响，避免室内热增益增加。</w:t>
      </w:r>
    </w:p>
    <w:p w14:paraId="096EA7DD">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表面处理与纹理化：对玻璃进行微纹理化、磨砂处理或使用具有散射效果的表面膜，改变镜面反射的方向性，减弱眩光集中度。</w:t>
      </w:r>
    </w:p>
    <w:p w14:paraId="3B891C3E">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低反射涂层与分层玻璃搭配：采用多层玻璃结构，内层加钝化涂层以控制内部反射，减少二次反射造成的眩光。</w:t>
      </w:r>
    </w:p>
    <w:p w14:paraId="623BC947">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内部光控与室内环境设计</w:t>
      </w:r>
    </w:p>
    <w:p w14:paraId="69D2B120">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内部遮阳帘、可调光百叶、卷帘等作为二级控制，配合传感器实现光照强度的动态调节，确保在高光时段仍能维持舒适的工作环境。</w:t>
      </w:r>
    </w:p>
    <w:p w14:paraId="37264A8F">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室内布局优化：通过桌位、屏幕、家具布置的微调，避免高反光区域直接指向工作者的眼睛。</w:t>
      </w:r>
    </w:p>
    <w:p w14:paraId="489118FD">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光控系统与智能化</w:t>
      </w:r>
    </w:p>
    <w:p w14:paraId="76D2FC26">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引入光控管理系统（BMS/照明控制系统）实现对遮阳、照明和玻璃表面反射条件的协同控制，按时间、日照强度和室内需求动态调整。</w:t>
      </w:r>
    </w:p>
    <w:p w14:paraId="4A0D7539">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采用分区控制与区域化策略，针对光照敏感区域设定独立的控制逻辑，避免全场统一调控造成局部不适。</w:t>
      </w:r>
    </w:p>
    <w:p w14:paraId="4F17BCAB">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建造阶段的协调与优化</w:t>
      </w:r>
    </w:p>
    <w:p w14:paraId="74CB3928">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建筑朝向、窗间距、分区组合、幕墙分格方式等需在方案阶段就纳入仿真评估，确保设计阶段就能避免因刚性改变造成的反光问题。</w:t>
      </w:r>
    </w:p>
    <w:p w14:paraId="5BA96EBB">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与使用功能紧密结合，确保遮阳、玻璃选择和室内布置的组合在实际使用中可执行、可维护。</w:t>
      </w:r>
    </w:p>
    <w:p w14:paraId="2F79A3E9">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具体实施流程与要点</w:t>
      </w:r>
    </w:p>
    <w:p w14:paraId="4DA62C9B">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一个落地流程通常包括诊断、方案设计、对比评估、施工与调试、运行维护若干阶段。每一阶段都应留有明确的考核点、责任人和时间表。</w:t>
      </w:r>
    </w:p>
    <w:p w14:paraId="2117452E">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 诊断与数据收集</w:t>
      </w:r>
    </w:p>
    <w:p w14:paraId="1DF2883A">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现场勘查：记录日照路径、窗户朝向、遮阳结构现状、周边建筑及环境反射特征。</w:t>
      </w:r>
    </w:p>
    <w:p w14:paraId="7C2D712D">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数据采集：获取玻璃类型、镀膜参数、表面处理工艺、现有遮阳设备规格、室内光照与热环境基线数据。</w:t>
      </w:r>
    </w:p>
    <w:p w14:paraId="0B26E63F">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用户反馈：通过调查了解实际眩光体验、工作效率、舒适度的主观感受。</w:t>
      </w:r>
    </w:p>
    <w:p w14:paraId="030219E2">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 方案设计与对比</w:t>
      </w:r>
    </w:p>
    <w:p w14:paraId="5E20BA3E">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针对外遮阳、玻璃选型、表面处理、室内光控四个维度提出备选组合。</w:t>
      </w:r>
    </w:p>
    <w:p w14:paraId="55F4FF8A">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进行定量对比，重点关注UGR下降幅度、采光充足性、热环境改善和能耗影响。</w:t>
      </w:r>
    </w:p>
    <w:p w14:paraId="6C737AF7">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经济性评估：初始投资与运维成本、折现回收期、可持续性指标。</w:t>
      </w:r>
    </w:p>
    <w:p w14:paraId="56B38074">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 施工与调试</w:t>
      </w:r>
    </w:p>
    <w:p w14:paraId="01439AFC">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按照选定方案执行外遮阳系统安装、玻璃更换或表面处理、光控系统集成。</w:t>
      </w:r>
    </w:p>
    <w:p w14:paraId="76B081E2">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完成后进行全面的现场调试，确保遮阳角度、反射分布、室内照度均达到设计目标。</w:t>
      </w:r>
    </w:p>
    <w:p w14:paraId="4EF79050">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验收阶段以UGR、照度均匀性、视觉舒适度等具体指标为准绳。</w:t>
      </w:r>
    </w:p>
    <w:p w14:paraId="38ABD9E6">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 运行监测与维护</w:t>
      </w:r>
    </w:p>
    <w:p w14:paraId="6547F4D3">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建立至少一个年度的监测计划，对日照变化、季节性性能波动、遮阳系统运作情况进行跟踪。</w:t>
      </w:r>
    </w:p>
    <w:p w14:paraId="02B6ACE7">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进行定期清洁与维护，确保玻璃表面光学性能稳定，遮阳系统灵敏度持续可靠。</w:t>
      </w:r>
    </w:p>
    <w:p w14:paraId="73D5FEC4">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根据监测结果适时微调控制策略，确保长期舒适性与能耗效率的平衡。</w:t>
      </w:r>
    </w:p>
    <w:p w14:paraId="60F188D6">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设计与施工要点</w:t>
      </w:r>
    </w:p>
    <w:p w14:paraId="24E4AE26">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玻璃选型优先考虑低反射、高透光与良好热工性能的组合，必要时使用分层结构以平衡日照与热负荷。</w:t>
      </w:r>
    </w:p>
    <w:p w14:paraId="30680A50">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外遮阳的设计应与日照季相协调，避免在低角度照射时产生另外的阴影与热积累。</w:t>
      </w:r>
    </w:p>
    <w:p w14:paraId="7E76FD36">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遮阳起落、角度调节的机械系统需简便可靠，便于现场维护；智能控制应具备冗余与容错处理。</w:t>
      </w:r>
    </w:p>
    <w:p w14:paraId="7F3B98CE">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表面处理应具备耐久性与易维护性，避免长期使用中反射率和色偏变化过大。</w:t>
      </w:r>
    </w:p>
    <w:p w14:paraId="78321026">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室内布局与家具布置要与光控策略结合，确保关键工作区获得稳定的光照且不被强光直接射入眼睛。</w:t>
      </w:r>
    </w:p>
    <w:p w14:paraId="0983BFF5">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运行与维护要点</w:t>
      </w:r>
    </w:p>
    <w:p w14:paraId="4D5BC051">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定期检查遮阳系统的机械部件、角度调控和电气控制，确保无卡滞、无错位。</w:t>
      </w:r>
    </w:p>
    <w:p w14:paraId="0DEBE33D">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玻璃表面需要定期清洁，避免尘埃、指纹等影响光学效果和视觉舒适度。</w:t>
      </w:r>
    </w:p>
    <w:p w14:paraId="2510B4E6">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建立使用者反馈机制，持续收集眩光相关的真实体验，并据此优化控制策略。</w:t>
      </w:r>
    </w:p>
    <w:p w14:paraId="0FB1C964">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在极端天气情形（强风、沙尘、冰冻等）下，评估遮阳与玻璃组合的安全性与应急措施。</w:t>
      </w:r>
    </w:p>
    <w:p w14:paraId="02E22C5E">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注意与风险点</w:t>
      </w:r>
    </w:p>
    <w:p w14:paraId="0D565B71">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遮阳系统与室内照明的协同不足，可能导致照明需求激增或照度不均，因此必须进行联合仿真与现场测试。</w:t>
      </w:r>
    </w:p>
    <w:p w14:paraId="65518529">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过度降低反光可能造成室内采光不足、视觉疲劳或隐私性降低，需要以工作区域需求为导向进行折中。</w:t>
      </w:r>
    </w:p>
    <w:p w14:paraId="13A47D0A">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不同材料的长期耐久性与维护成本差异较大，应在选型阶段就完成全生命周期评估。</w:t>
      </w:r>
    </w:p>
    <w:p w14:paraId="08B2498E">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日夜变化与季节性差异需被纳入长期运行监控，避免季节性反光问题被忽视。</w:t>
      </w:r>
    </w:p>
    <w:p w14:paraId="2914C71D">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效果评估与持续改进</w:t>
      </w:r>
    </w:p>
    <w:p w14:paraId="454257C3">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方案落地一年以上后，应进行效果回顾与持续改进。评估要点包括UGR变化情况、室内光照均匀性、热舒适性、能耗变化以及用户满意度。通过对比基线与实施后的数据，判断方案的有效性，结合新的使用模式、周边环境变化及技术更新，适时更新策略与设备配置，确保长期达成舒适、节能、合规的目标。</w:t>
      </w:r>
    </w:p>
    <w:p w14:paraId="7D022DDD">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总结性思考</w:t>
      </w:r>
    </w:p>
    <w:p w14:paraId="405400BC">
      <w:pPr>
        <w:keepNext w:val="0"/>
        <w:keepLines w:val="0"/>
        <w:pageBreakBefore w:val="0"/>
        <w:widowControl/>
        <w:kinsoku/>
        <w:wordWrap/>
        <w:overflowPunct/>
        <w:topLinePunct w:val="0"/>
        <w:autoSpaceDE/>
        <w:autoSpaceDN/>
        <w:bidi w:val="0"/>
        <w:adjustRightInd w:val="0"/>
        <w:snapToGrid w:val="0"/>
        <w:spacing w:after="0"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玻璃幕墙反光问题的解决不是单点改造，而是一次系统性、全生命周期的优化过程。通过科学的现象识别、量化评估、多方案对比和阶段性实施，可以在保持建筑美学和采光优势的同时显著降低眩光与反射带来的不利影响。关键在于把外遮阳、玻璃与表面处理、室内光控及智能化控制等环节紧密耦合，在真实使用场景中不断调整与迭代，最终实现从被动应对到主动优化的转变。只有这样，才能让玻璃幕墙既成为建筑的一道亮丽外衣，又成为 occupants 舒适、高效的工作与生活环境。</w:t>
      </w:r>
    </w:p>
    <w:sectPr>
      <w:pgSz w:w="12240" w:h="15840"/>
      <w:pgMar w:top="1134" w:right="1134" w:bottom="1134"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MS Mincho">
    <w:panose1 w:val="02020609040205080304"/>
    <w:charset w:val="80"/>
    <w:family w:val="auto"/>
    <w:pitch w:val="default"/>
    <w:sig w:usb0="E00002FF" w:usb1="6AC7FDFB" w:usb2="00000012" w:usb3="00000000" w:csb0="4002009F" w:csb1="DFD7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2NzI3ZDJlYTc5YjIwMDc3ZmRjMjQ3ZjU5MzI5ODcifQ=="/>
  </w:docVars>
  <w:rsids>
    <w:rsidRoot w:val="00B47730"/>
    <w:rsid w:val="00034616"/>
    <w:rsid w:val="0006063C"/>
    <w:rsid w:val="0015074B"/>
    <w:rsid w:val="0029639D"/>
    <w:rsid w:val="00326F90"/>
    <w:rsid w:val="00AA1D8D"/>
    <w:rsid w:val="00B47730"/>
    <w:rsid w:val="00CB0664"/>
    <w:rsid w:val="00FC693F"/>
    <w:rsid w:val="3D8B6798"/>
    <w:rsid w:val="48F056A3"/>
    <w:rsid w:val="4E5C62CB"/>
    <w:rsid w:val="5D5D69DC"/>
    <w:rsid w:val="7BE3290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qFormat="1"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200" w:line="276" w:lineRule="auto"/>
    </w:pPr>
    <w:rPr>
      <w:rFonts w:ascii="Times New Roman" w:hAnsi="Times New Roman" w:eastAsia="宋体" w:cstheme="minorBidi"/>
      <w:sz w:val="26"/>
      <w:szCs w:val="22"/>
      <w:lang w:val="en-US" w:eastAsia="en-US" w:bidi="ar-SA"/>
    </w:rPr>
  </w:style>
  <w:style w:type="paragraph" w:styleId="3">
    <w:name w:val="heading 1"/>
    <w:basedOn w:val="1"/>
    <w:next w:val="1"/>
    <w:link w:val="138"/>
    <w:autoRedefine/>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autoRedefine/>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autoRedefine/>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autoRedefine/>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autoRedefine/>
    <w:unhideWhenUsed/>
    <w:qFormat/>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autoRedefine/>
    <w:unhideWhenUsed/>
    <w:qFormat/>
    <w:uiPriority w:val="99"/>
    <w:pPr>
      <w:ind w:left="360" w:hanging="360"/>
      <w:contextualSpacing/>
    </w:pPr>
  </w:style>
  <w:style w:type="paragraph" w:styleId="28">
    <w:name w:val="Body Text 2"/>
    <w:basedOn w:val="1"/>
    <w:link w:val="145"/>
    <w:autoRedefine/>
    <w:unhideWhenUsed/>
    <w:qFormat/>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autoRedefine/>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autoRedefine/>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autoRedefine/>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autoRedefine/>
    <w:qFormat/>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PPiXXAUV</dc:creator>
  <cp:lastModifiedBy>马通</cp:lastModifiedBy>
  <dcterms:modified xsi:type="dcterms:W3CDTF">2026-06-02T12:08:38Z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FE34C79784B049C38F05B2EE62E1E10A_13</vt:lpwstr>
  </property>
</Properties>
</file>